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890" w:rsidRPr="001A0890" w:rsidRDefault="001A0890" w:rsidP="00832958">
      <w:pPr>
        <w:pStyle w:val="Heading1"/>
        <w:spacing w:before="0" w:after="240"/>
      </w:pPr>
      <w:r w:rsidRPr="001A0890">
        <w:t>De</w:t>
      </w:r>
      <w:r w:rsidR="003F2FA7">
        <w:t>sign Document for User Story 540</w:t>
      </w:r>
      <w:r w:rsidRPr="001A0890">
        <w:t>9</w:t>
      </w:r>
    </w:p>
    <w:p w:rsidR="001A0890" w:rsidRDefault="00B42E47" w:rsidP="00832958">
      <w:pPr>
        <w:pStyle w:val="Heading2"/>
        <w:spacing w:before="0" w:after="240"/>
      </w:pPr>
      <w:r w:rsidRPr="00B42E47">
        <w:t>As a user I would like the TBI-CDS data stored in a central database so that maintenance and reporti</w:t>
      </w:r>
      <w:bookmarkStart w:id="0" w:name="_GoBack"/>
      <w:bookmarkEnd w:id="0"/>
      <w:r w:rsidRPr="00B42E47">
        <w:t>ng are easier</w:t>
      </w:r>
      <w:r>
        <w:t>.</w:t>
      </w:r>
    </w:p>
    <w:p w:rsidR="00EF6826" w:rsidRPr="00EF6826" w:rsidRDefault="00EF6826" w:rsidP="00EF6826"/>
    <w:p w:rsidR="00277A9C" w:rsidRPr="001A0890" w:rsidRDefault="00277A9C" w:rsidP="00832958">
      <w:pPr>
        <w:spacing w:after="240"/>
        <w:rPr>
          <w:rFonts w:asciiTheme="minorHAnsi" w:hAnsiTheme="minorHAnsi" w:cstheme="minorBidi"/>
        </w:rPr>
      </w:pPr>
      <w:r w:rsidRPr="001A0890">
        <w:rPr>
          <w:rFonts w:asciiTheme="minorHAnsi" w:hAnsiTheme="minorHAnsi" w:cstheme="minorBidi"/>
        </w:rPr>
        <w:t>The TBI-CDS application stores data in a central Oracle database.</w:t>
      </w:r>
    </w:p>
    <w:p w:rsidR="00277A9C" w:rsidRPr="001A0890" w:rsidRDefault="00277A9C" w:rsidP="00832958">
      <w:pPr>
        <w:spacing w:after="240"/>
        <w:rPr>
          <w:rFonts w:asciiTheme="minorHAnsi" w:hAnsiTheme="minorHAnsi" w:cstheme="minorBidi"/>
        </w:rPr>
      </w:pPr>
      <w:r w:rsidRPr="001A0890">
        <w:rPr>
          <w:rFonts w:asciiTheme="minorHAnsi" w:hAnsiTheme="minorHAnsi" w:cstheme="minorBidi"/>
        </w:rPr>
        <w:t>The schema name is TBICDS</w:t>
      </w:r>
      <w:r w:rsidR="001A0890">
        <w:rPr>
          <w:rFonts w:asciiTheme="minorHAnsi" w:hAnsiTheme="minorHAnsi" w:cstheme="minorBidi"/>
        </w:rPr>
        <w:t>.</w:t>
      </w:r>
    </w:p>
    <w:p w:rsidR="00277A9C" w:rsidRPr="001A0890" w:rsidRDefault="00277A9C" w:rsidP="00832958">
      <w:pPr>
        <w:spacing w:after="240"/>
        <w:rPr>
          <w:rFonts w:asciiTheme="minorHAnsi" w:hAnsiTheme="minorHAnsi" w:cstheme="minorBidi"/>
        </w:rPr>
      </w:pPr>
      <w:r w:rsidRPr="001A0890">
        <w:rPr>
          <w:rFonts w:asciiTheme="minorHAnsi" w:hAnsiTheme="minorHAnsi" w:cstheme="minorBidi"/>
          <w:noProof/>
        </w:rPr>
        <w:drawing>
          <wp:inline distT="0" distB="0" distL="0" distR="0" wp14:anchorId="6B01F733" wp14:editId="45753FE3">
            <wp:extent cx="2314575" cy="1019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A9C" w:rsidRPr="001A0890" w:rsidRDefault="00277A9C" w:rsidP="00832958">
      <w:pPr>
        <w:spacing w:after="240"/>
        <w:rPr>
          <w:rFonts w:asciiTheme="minorHAnsi" w:hAnsiTheme="minorHAnsi" w:cstheme="minorBidi"/>
        </w:rPr>
      </w:pPr>
    </w:p>
    <w:p w:rsidR="004018EF" w:rsidRPr="001B7D64" w:rsidRDefault="001A0890" w:rsidP="00832958">
      <w:pPr>
        <w:spacing w:after="240"/>
        <w:rPr>
          <w:rFonts w:asciiTheme="minorHAnsi" w:hAnsiTheme="minorHAnsi" w:cstheme="minorHAnsi"/>
        </w:rPr>
      </w:pPr>
      <w:r w:rsidRPr="001B7D64">
        <w:rPr>
          <w:rFonts w:asciiTheme="minorHAnsi" w:hAnsiTheme="minorHAnsi" w:cstheme="minorHAnsi"/>
        </w:rPr>
        <w:t>All sensitive data is AES-</w:t>
      </w:r>
      <w:r w:rsidR="004018EF" w:rsidRPr="001B7D64">
        <w:rPr>
          <w:rFonts w:asciiTheme="minorHAnsi" w:hAnsiTheme="minorHAnsi" w:cstheme="minorHAnsi"/>
        </w:rPr>
        <w:t>encrypted in the database using a key passed from the website to the database.</w:t>
      </w:r>
    </w:p>
    <w:p w:rsidR="004018EF" w:rsidRDefault="004018EF" w:rsidP="00832958">
      <w:pPr>
        <w:spacing w:after="240"/>
        <w:rPr>
          <w:rFonts w:asciiTheme="minorHAnsi" w:hAnsiTheme="minorHAnsi" w:cstheme="minorHAnsi"/>
        </w:rPr>
      </w:pPr>
      <w:r w:rsidRPr="001B7D64">
        <w:rPr>
          <w:rFonts w:asciiTheme="minorHAnsi" w:hAnsiTheme="minorHAnsi" w:cstheme="minorHAnsi"/>
        </w:rPr>
        <w:t xml:space="preserve">The key is encrypted and stored in the </w:t>
      </w:r>
      <w:proofErr w:type="spellStart"/>
      <w:r w:rsidRPr="001B7D64">
        <w:rPr>
          <w:rFonts w:asciiTheme="minorHAnsi" w:hAnsiTheme="minorHAnsi" w:cstheme="minorHAnsi"/>
        </w:rPr>
        <w:t>web.config</w:t>
      </w:r>
      <w:proofErr w:type="spellEnd"/>
      <w:r w:rsidRPr="001B7D64">
        <w:rPr>
          <w:rFonts w:asciiTheme="minorHAnsi" w:hAnsiTheme="minorHAnsi" w:cstheme="minorHAnsi"/>
        </w:rPr>
        <w:t xml:space="preserve"> file on the webserver. The connection string used to connect to the TBI central Oracle database is also encrypted and stored in the </w:t>
      </w:r>
      <w:proofErr w:type="spellStart"/>
      <w:r w:rsidRPr="001B7D64">
        <w:rPr>
          <w:rFonts w:asciiTheme="minorHAnsi" w:hAnsiTheme="minorHAnsi" w:cstheme="minorHAnsi"/>
        </w:rPr>
        <w:t>web.config</w:t>
      </w:r>
      <w:proofErr w:type="spellEnd"/>
      <w:r w:rsidRPr="001B7D64">
        <w:rPr>
          <w:rFonts w:asciiTheme="minorHAnsi" w:hAnsiTheme="minorHAnsi" w:cstheme="minorHAnsi"/>
        </w:rPr>
        <w:t xml:space="preserve"> file on the web server. The following is an example of encrypted patient demographics stored in the database.</w:t>
      </w:r>
    </w:p>
    <w:p w:rsidR="00277A9C" w:rsidRDefault="004018EF" w:rsidP="00832958">
      <w:pPr>
        <w:spacing w:after="240"/>
        <w:rPr>
          <w:rFonts w:asciiTheme="minorHAnsi" w:hAnsiTheme="minorHAnsi" w:cstheme="minorBidi"/>
        </w:rPr>
      </w:pPr>
      <w:r w:rsidRPr="001A0890">
        <w:rPr>
          <w:noProof/>
        </w:rPr>
        <w:drawing>
          <wp:inline distT="0" distB="0" distL="0" distR="0" wp14:anchorId="3E20B1B8" wp14:editId="074EB9E9">
            <wp:extent cx="2809875" cy="838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958" w:rsidRPr="001A0890" w:rsidRDefault="00832958" w:rsidP="00832958">
      <w:pPr>
        <w:spacing w:after="240"/>
        <w:rPr>
          <w:rFonts w:asciiTheme="minorHAnsi" w:hAnsiTheme="minorHAnsi" w:cstheme="minorBidi"/>
        </w:rPr>
      </w:pPr>
    </w:p>
    <w:p w:rsidR="0084049B" w:rsidRPr="00ED20C4" w:rsidRDefault="0084049B" w:rsidP="00832958">
      <w:pPr>
        <w:spacing w:after="240"/>
        <w:rPr>
          <w:rFonts w:asciiTheme="minorHAnsi" w:hAnsiTheme="minorHAnsi" w:cstheme="minorHAnsi"/>
        </w:rPr>
      </w:pPr>
      <w:r w:rsidRPr="00ED20C4">
        <w:rPr>
          <w:rFonts w:asciiTheme="minorHAnsi" w:hAnsiTheme="minorHAnsi" w:cstheme="minorHAnsi"/>
          <w:noProof/>
        </w:rPr>
        <w:t xml:space="preserve">The </w:t>
      </w: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</w:rPr>
        <w:t xml:space="preserve"> function is used to encrypt data. The following </w:t>
      </w:r>
      <w:r w:rsidR="003D00A4" w:rsidRPr="00ED20C4">
        <w:rPr>
          <w:rFonts w:asciiTheme="minorHAnsi" w:hAnsiTheme="minorHAnsi" w:cstheme="minorHAnsi"/>
        </w:rPr>
        <w:t xml:space="preserve">are </w:t>
      </w:r>
      <w:r w:rsidRPr="00ED20C4">
        <w:rPr>
          <w:rFonts w:asciiTheme="minorHAnsi" w:hAnsiTheme="minorHAnsi" w:cstheme="minorHAnsi"/>
        </w:rPr>
        <w:t>example</w:t>
      </w:r>
      <w:r w:rsidR="003D00A4" w:rsidRPr="00ED20C4">
        <w:rPr>
          <w:rFonts w:asciiTheme="minorHAnsi" w:hAnsiTheme="minorHAnsi" w:cstheme="minorHAnsi"/>
        </w:rPr>
        <w:t>s</w:t>
      </w:r>
      <w:r w:rsidRPr="00ED20C4">
        <w:rPr>
          <w:rFonts w:asciiTheme="minorHAnsi" w:hAnsiTheme="minorHAnsi" w:cstheme="minorHAnsi"/>
        </w:rPr>
        <w:t xml:space="preserve"> of encrypting data using a key 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="00ED20C4">
        <w:rPr>
          <w:rFonts w:asciiTheme="minorHAnsi" w:hAnsiTheme="minorHAnsi" w:cstheme="minorHAnsi"/>
        </w:rPr>
        <w:t>) passed in</w:t>
      </w:r>
      <w:r w:rsidRPr="00ED20C4">
        <w:rPr>
          <w:rFonts w:asciiTheme="minorHAnsi" w:hAnsiTheme="minorHAnsi" w:cstheme="minorHAnsi"/>
        </w:rPr>
        <w:t>to the stored procedure</w:t>
      </w:r>
      <w:r w:rsidR="00ED20C4">
        <w:rPr>
          <w:rFonts w:asciiTheme="minorHAnsi" w:hAnsiTheme="minorHAnsi" w:cstheme="minorHAnsi"/>
        </w:rPr>
        <w:t>.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pi_vFirstName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pi_vLastName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pi_vMI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pi_vSSN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v_vSex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84049B" w:rsidRPr="00ED20C4" w:rsidRDefault="0084049B" w:rsidP="00832958">
      <w:pPr>
        <w:numPr>
          <w:ilvl w:val="0"/>
          <w:numId w:val="1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fnc_utl_encstr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to_char</w:t>
      </w:r>
      <w:proofErr w:type="spellEnd"/>
      <w:r w:rsidRPr="00ED20C4">
        <w:rPr>
          <w:rFonts w:asciiTheme="minorHAnsi" w:hAnsiTheme="minorHAnsi" w:cstheme="minorHAnsi"/>
          <w:highlight w:val="white"/>
        </w:rPr>
        <w:t>(pi_</w:t>
      </w:r>
      <w:proofErr w:type="spellStart"/>
      <w:r w:rsidRPr="00ED20C4">
        <w:rPr>
          <w:rFonts w:asciiTheme="minorHAnsi" w:hAnsiTheme="minorHAnsi" w:cstheme="minorHAnsi"/>
          <w:highlight w:val="white"/>
        </w:rPr>
        <w:t>dtdob</w:t>
      </w:r>
      <w:proofErr w:type="spellEnd"/>
      <w:r w:rsidRPr="00ED20C4">
        <w:rPr>
          <w:rFonts w:asciiTheme="minorHAnsi" w:hAnsiTheme="minorHAnsi" w:cstheme="minorHAnsi"/>
          <w:highlight w:val="white"/>
        </w:rPr>
        <w:t>,'mm/</w:t>
      </w:r>
      <w:proofErr w:type="spellStart"/>
      <w:r w:rsidRPr="00ED20C4">
        <w:rPr>
          <w:rFonts w:asciiTheme="minorHAnsi" w:hAnsiTheme="minorHAnsi" w:cstheme="minorHAnsi"/>
          <w:highlight w:val="white"/>
        </w:rPr>
        <w:t>dd</w:t>
      </w:r>
      <w:proofErr w:type="spellEnd"/>
      <w:r w:rsidRPr="00ED20C4">
        <w:rPr>
          <w:rFonts w:asciiTheme="minorHAnsi" w:hAnsiTheme="minorHAnsi" w:cstheme="minorHAnsi"/>
          <w:highlight w:val="white"/>
        </w:rPr>
        <w:t>/</w:t>
      </w:r>
      <w:proofErr w:type="spellStart"/>
      <w:r w:rsidRPr="00ED20C4">
        <w:rPr>
          <w:rFonts w:asciiTheme="minorHAnsi" w:hAnsiTheme="minorHAnsi" w:cstheme="minorHAnsi"/>
          <w:highlight w:val="white"/>
        </w:rPr>
        <w:t>yyyy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'),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>, upper(</w:t>
      </w:r>
      <w:proofErr w:type="spellStart"/>
      <w:r w:rsidRPr="00ED20C4">
        <w:rPr>
          <w:rFonts w:asciiTheme="minorHAnsi" w:hAnsiTheme="minorHAnsi" w:cstheme="minorHAnsi"/>
          <w:highlight w:val="white"/>
        </w:rPr>
        <w:t>v_vPatientID</w:t>
      </w:r>
      <w:proofErr w:type="spellEnd"/>
      <w:r w:rsidRPr="00ED20C4">
        <w:rPr>
          <w:rFonts w:asciiTheme="minorHAnsi" w:hAnsiTheme="minorHAnsi" w:cstheme="minorHAnsi"/>
          <w:highlight w:val="white"/>
        </w:rPr>
        <w:t>)),</w:t>
      </w:r>
    </w:p>
    <w:p w:rsidR="003D00A4" w:rsidRPr="00ED20C4" w:rsidRDefault="003D00A4" w:rsidP="00832958">
      <w:pPr>
        <w:spacing w:after="240"/>
        <w:rPr>
          <w:rFonts w:asciiTheme="minorHAnsi" w:hAnsiTheme="minorHAnsi" w:cstheme="minorHAnsi"/>
        </w:rPr>
      </w:pPr>
      <w:r w:rsidRPr="00ED20C4">
        <w:rPr>
          <w:rFonts w:asciiTheme="minorHAnsi" w:hAnsiTheme="minorHAnsi" w:cstheme="minorHAnsi"/>
          <w:highlight w:val="white"/>
        </w:rPr>
        <w:t xml:space="preserve">The </w:t>
      </w:r>
      <w:proofErr w:type="spellStart"/>
      <w:r w:rsidRPr="00ED20C4">
        <w:rPr>
          <w:rFonts w:asciiTheme="minorHAnsi" w:hAnsiTheme="minorHAnsi" w:cstheme="minorHAnsi"/>
          <w:highlight w:val="white"/>
        </w:rPr>
        <w:t>fnc_utl_decstr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 function is used t</w:t>
      </w:r>
      <w:r w:rsidR="00ED20C4">
        <w:rPr>
          <w:rFonts w:asciiTheme="minorHAnsi" w:hAnsiTheme="minorHAnsi" w:cstheme="minorHAnsi"/>
          <w:highlight w:val="white"/>
        </w:rPr>
        <w:t>o decrypt data. The following</w:t>
      </w:r>
      <w:r w:rsidRPr="00ED20C4">
        <w:rPr>
          <w:rFonts w:asciiTheme="minorHAnsi" w:hAnsiTheme="minorHAnsi" w:cstheme="minorHAnsi"/>
          <w:highlight w:val="white"/>
        </w:rPr>
        <w:t xml:space="preserve"> are examples of decrypting data </w:t>
      </w:r>
      <w:r w:rsidRPr="00ED20C4">
        <w:rPr>
          <w:rFonts w:asciiTheme="minorHAnsi" w:hAnsiTheme="minorHAnsi" w:cstheme="minorHAnsi"/>
        </w:rPr>
        <w:t>using a key (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</w:rPr>
        <w:t>) passed into the stored procedure</w:t>
      </w:r>
      <w:r w:rsidR="00ED20C4">
        <w:rPr>
          <w:rFonts w:asciiTheme="minorHAnsi" w:hAnsiTheme="minorHAnsi" w:cstheme="minorHAnsi"/>
        </w:rPr>
        <w:t>.</w:t>
      </w:r>
    </w:p>
    <w:p w:rsidR="003D00A4" w:rsidRPr="00ED20C4" w:rsidRDefault="003D00A4" w:rsidP="00832958">
      <w:pPr>
        <w:numPr>
          <w:ilvl w:val="0"/>
          <w:numId w:val="2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fnc_utl_decstr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t.FIRST_NAME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t.PATIENT_ID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 as </w:t>
      </w:r>
      <w:proofErr w:type="spellStart"/>
      <w:r w:rsidRPr="00ED20C4">
        <w:rPr>
          <w:rFonts w:asciiTheme="minorHAnsi" w:hAnsiTheme="minorHAnsi" w:cstheme="minorHAnsi"/>
          <w:highlight w:val="white"/>
        </w:rPr>
        <w:t>first_name</w:t>
      </w:r>
      <w:proofErr w:type="spellEnd"/>
      <w:r w:rsidRPr="00ED20C4">
        <w:rPr>
          <w:rFonts w:asciiTheme="minorHAnsi" w:hAnsiTheme="minorHAnsi" w:cstheme="minorHAnsi"/>
          <w:highlight w:val="white"/>
        </w:rPr>
        <w:t>,</w:t>
      </w:r>
    </w:p>
    <w:p w:rsidR="003D00A4" w:rsidRPr="00ED20C4" w:rsidRDefault="003D00A4" w:rsidP="00832958">
      <w:pPr>
        <w:numPr>
          <w:ilvl w:val="0"/>
          <w:numId w:val="2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fnc_utl_decstr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t.MI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t.PATIENT_ID</w:t>
      </w:r>
      <w:proofErr w:type="spellEnd"/>
      <w:r w:rsidRPr="00ED20C4">
        <w:rPr>
          <w:rFonts w:asciiTheme="minorHAnsi" w:hAnsiTheme="minorHAnsi" w:cstheme="minorHAnsi"/>
          <w:highlight w:val="white"/>
        </w:rPr>
        <w:t>) as mi,</w:t>
      </w:r>
    </w:p>
    <w:p w:rsidR="003D00A4" w:rsidRPr="00ED20C4" w:rsidRDefault="003D00A4" w:rsidP="00832958">
      <w:pPr>
        <w:numPr>
          <w:ilvl w:val="0"/>
          <w:numId w:val="2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lastRenderedPageBreak/>
        <w:t>fnc_utl_decstr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t.LAST_NAME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t.PATIENT_ID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 as </w:t>
      </w:r>
      <w:proofErr w:type="spellStart"/>
      <w:r w:rsidRPr="00ED20C4">
        <w:rPr>
          <w:rFonts w:asciiTheme="minorHAnsi" w:hAnsiTheme="minorHAnsi" w:cstheme="minorHAnsi"/>
          <w:highlight w:val="white"/>
        </w:rPr>
        <w:t>last_name</w:t>
      </w:r>
      <w:proofErr w:type="spellEnd"/>
      <w:r w:rsidRPr="00ED20C4">
        <w:rPr>
          <w:rFonts w:asciiTheme="minorHAnsi" w:hAnsiTheme="minorHAnsi" w:cstheme="minorHAnsi"/>
          <w:highlight w:val="white"/>
        </w:rPr>
        <w:t>,</w:t>
      </w:r>
    </w:p>
    <w:p w:rsidR="003D00A4" w:rsidRPr="00ED20C4" w:rsidRDefault="003D00A4" w:rsidP="00832958">
      <w:pPr>
        <w:numPr>
          <w:ilvl w:val="0"/>
          <w:numId w:val="2"/>
        </w:numPr>
        <w:spacing w:after="240"/>
        <w:rPr>
          <w:rFonts w:asciiTheme="minorHAnsi" w:hAnsiTheme="minorHAnsi" w:cstheme="minorHAnsi"/>
          <w:highlight w:val="white"/>
        </w:rPr>
      </w:pPr>
      <w:proofErr w:type="spellStart"/>
      <w:r w:rsidRPr="00ED20C4">
        <w:rPr>
          <w:rFonts w:asciiTheme="minorHAnsi" w:hAnsiTheme="minorHAnsi" w:cstheme="minorHAnsi"/>
          <w:highlight w:val="white"/>
        </w:rPr>
        <w:t>fnc_utl_decstr</w:t>
      </w:r>
      <w:proofErr w:type="spellEnd"/>
      <w:r w:rsidRPr="00ED20C4">
        <w:rPr>
          <w:rFonts w:asciiTheme="minorHAnsi" w:hAnsiTheme="minorHAnsi" w:cstheme="minorHAnsi"/>
          <w:highlight w:val="white"/>
        </w:rPr>
        <w:t>(</w:t>
      </w:r>
      <w:proofErr w:type="spellStart"/>
      <w:r w:rsidRPr="00ED20C4">
        <w:rPr>
          <w:rFonts w:asciiTheme="minorHAnsi" w:hAnsiTheme="minorHAnsi" w:cstheme="minorHAnsi"/>
          <w:highlight w:val="white"/>
        </w:rPr>
        <w:t>t.FMP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pi_vKey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, </w:t>
      </w:r>
      <w:proofErr w:type="spellStart"/>
      <w:r w:rsidRPr="00ED20C4">
        <w:rPr>
          <w:rFonts w:asciiTheme="minorHAnsi" w:hAnsiTheme="minorHAnsi" w:cstheme="minorHAnsi"/>
          <w:highlight w:val="white"/>
        </w:rPr>
        <w:t>t.PATIENT_ID</w:t>
      </w:r>
      <w:proofErr w:type="spellEnd"/>
      <w:r w:rsidRPr="00ED20C4">
        <w:rPr>
          <w:rFonts w:asciiTheme="minorHAnsi" w:hAnsiTheme="minorHAnsi" w:cstheme="minorHAnsi"/>
          <w:highlight w:val="white"/>
        </w:rPr>
        <w:t xml:space="preserve">) as </w:t>
      </w:r>
      <w:proofErr w:type="spellStart"/>
      <w:r w:rsidRPr="00ED20C4">
        <w:rPr>
          <w:rFonts w:asciiTheme="minorHAnsi" w:hAnsiTheme="minorHAnsi" w:cstheme="minorHAnsi"/>
          <w:highlight w:val="white"/>
        </w:rPr>
        <w:t>fmp</w:t>
      </w:r>
      <w:proofErr w:type="spellEnd"/>
      <w:r w:rsidRPr="00ED20C4">
        <w:rPr>
          <w:rFonts w:asciiTheme="minorHAnsi" w:hAnsiTheme="minorHAnsi" w:cstheme="minorHAnsi"/>
          <w:highlight w:val="white"/>
        </w:rPr>
        <w:t>,</w:t>
      </w:r>
    </w:p>
    <w:p w:rsidR="00222EE0" w:rsidRDefault="00222EE0" w:rsidP="00832958">
      <w:pPr>
        <w:spacing w:after="240"/>
        <w:rPr>
          <w:rFonts w:asciiTheme="minorHAnsi" w:hAnsiTheme="minorHAnsi" w:cstheme="minorBidi"/>
        </w:rPr>
      </w:pPr>
    </w:p>
    <w:p w:rsidR="004018EF" w:rsidRPr="00832958" w:rsidRDefault="00235977" w:rsidP="00832958">
      <w:pPr>
        <w:spacing w:after="240"/>
        <w:rPr>
          <w:rFonts w:ascii="Courier New" w:hAnsi="Courier New" w:cs="Courier New"/>
          <w:sz w:val="20"/>
          <w:szCs w:val="20"/>
        </w:rPr>
      </w:pPr>
      <w:r w:rsidRPr="001A0890">
        <w:rPr>
          <w:rFonts w:asciiTheme="minorHAnsi" w:hAnsiTheme="minorHAnsi" w:cstheme="minorBidi"/>
        </w:rPr>
        <w:t xml:space="preserve">The following is a software architecture diagram that shows how the system </w:t>
      </w:r>
      <w:r w:rsidR="003D00A4" w:rsidRPr="001A0890">
        <w:rPr>
          <w:rFonts w:asciiTheme="minorHAnsi" w:hAnsiTheme="minorHAnsi" w:cstheme="minorBidi"/>
        </w:rPr>
        <w:t xml:space="preserve">accesses </w:t>
      </w:r>
      <w:r w:rsidRPr="001A0890">
        <w:rPr>
          <w:rFonts w:asciiTheme="minorHAnsi" w:hAnsiTheme="minorHAnsi" w:cstheme="minorBidi"/>
        </w:rPr>
        <w:t>the database.</w:t>
      </w:r>
    </w:p>
    <w:p w:rsidR="00235977" w:rsidRDefault="00235977" w:rsidP="00832958">
      <w:pPr>
        <w:spacing w:after="240"/>
        <w:rPr>
          <w:rFonts w:asciiTheme="minorHAnsi" w:hAnsiTheme="minorHAnsi" w:cstheme="minorBidi"/>
        </w:rPr>
      </w:pPr>
      <w:r w:rsidRPr="001A0890">
        <w:rPr>
          <w:rFonts w:asciiTheme="minorHAnsi" w:hAnsiTheme="minorHAnsi" w:cstheme="minorBidi"/>
        </w:rPr>
        <w:t>All access to data is through Oracle stored procedures.</w:t>
      </w:r>
    </w:p>
    <w:p w:rsidR="00235977" w:rsidRPr="001A0890" w:rsidRDefault="00235977" w:rsidP="00832958">
      <w:pPr>
        <w:spacing w:after="240"/>
        <w:rPr>
          <w:rFonts w:asciiTheme="minorHAnsi" w:hAnsiTheme="minorHAnsi" w:cstheme="minorBidi"/>
        </w:rPr>
      </w:pPr>
      <w:r w:rsidRPr="001A0890">
        <w:rPr>
          <w:noProof/>
        </w:rPr>
        <w:drawing>
          <wp:inline distT="0" distB="0" distL="0" distR="0" wp14:anchorId="723EDFDB" wp14:editId="711EC7F2">
            <wp:extent cx="4591050" cy="6343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A9C" w:rsidRPr="001A0890" w:rsidRDefault="00277A9C" w:rsidP="00832958">
      <w:pPr>
        <w:spacing w:after="240"/>
        <w:rPr>
          <w:rFonts w:asciiTheme="minorHAnsi" w:hAnsiTheme="minorHAnsi" w:cstheme="minorBidi"/>
        </w:rPr>
      </w:pPr>
    </w:p>
    <w:p w:rsidR="00277A9C" w:rsidRPr="000A661A" w:rsidRDefault="004F3D17" w:rsidP="00832958">
      <w:pPr>
        <w:spacing w:after="240"/>
      </w:pPr>
      <w:r w:rsidRPr="00832958">
        <w:rPr>
          <w:rFonts w:asciiTheme="minorHAnsi" w:hAnsiTheme="minorHAnsi" w:cstheme="minorHAnsi"/>
        </w:rPr>
        <w:t xml:space="preserve">Per our </w:t>
      </w:r>
      <w:r w:rsidR="00E840FE" w:rsidRPr="00832958">
        <w:rPr>
          <w:rFonts w:asciiTheme="minorHAnsi" w:hAnsiTheme="minorHAnsi" w:cstheme="minorHAnsi"/>
        </w:rPr>
        <w:t>response to the contract, this database started as a copy of the revamp schema. As we progress</w:t>
      </w:r>
      <w:r w:rsidRPr="00832958">
        <w:rPr>
          <w:rFonts w:asciiTheme="minorHAnsi" w:hAnsiTheme="minorHAnsi" w:cstheme="minorHAnsi"/>
        </w:rPr>
        <w:t>,</w:t>
      </w:r>
      <w:r w:rsidR="00E840FE" w:rsidRPr="00832958">
        <w:rPr>
          <w:rFonts w:asciiTheme="minorHAnsi" w:hAnsiTheme="minorHAnsi" w:cstheme="minorHAnsi"/>
        </w:rPr>
        <w:t xml:space="preserve"> tables and procedures will be added and removed. This approach allows us to get up and running quickly. </w:t>
      </w:r>
    </w:p>
    <w:p w:rsidR="00E840FE" w:rsidRPr="00832958" w:rsidRDefault="00E840FE" w:rsidP="00832958">
      <w:pPr>
        <w:spacing w:after="240"/>
        <w:rPr>
          <w:rFonts w:asciiTheme="minorHAnsi" w:hAnsiTheme="minorHAnsi" w:cstheme="minorHAnsi"/>
        </w:rPr>
      </w:pPr>
      <w:r w:rsidRPr="00832958">
        <w:rPr>
          <w:rFonts w:asciiTheme="minorHAnsi" w:hAnsiTheme="minorHAnsi" w:cstheme="minorHAnsi"/>
        </w:rPr>
        <w:t>The following is a list of all objects in the TBICDS schema</w:t>
      </w:r>
      <w:r w:rsidR="00832958" w:rsidRPr="00832958">
        <w:rPr>
          <w:rFonts w:asciiTheme="minorHAnsi" w:hAnsiTheme="minorHAnsi" w:cstheme="minorHAnsi"/>
        </w:rPr>
        <w:t>.</w:t>
      </w:r>
      <w:r w:rsidR="002332D1" w:rsidRPr="00832958">
        <w:rPr>
          <w:rFonts w:asciiTheme="minorHAnsi" w:hAnsiTheme="minorHAnsi" w:cstheme="minorHAnsi"/>
        </w:rPr>
        <w:t xml:space="preserve"> </w:t>
      </w:r>
      <w:r w:rsidR="00832958" w:rsidRPr="00832958">
        <w:rPr>
          <w:rFonts w:asciiTheme="minorHAnsi" w:hAnsiTheme="minorHAnsi" w:cstheme="minorHAnsi"/>
        </w:rPr>
        <w:t>A</w:t>
      </w:r>
      <w:r w:rsidR="002332D1" w:rsidRPr="00832958">
        <w:rPr>
          <w:rFonts w:asciiTheme="minorHAnsi" w:hAnsiTheme="minorHAnsi" w:cstheme="minorHAnsi"/>
        </w:rPr>
        <w:t xml:space="preserve"> database diagram will be provided in a separate document.</w:t>
      </w:r>
    </w:p>
    <w:p w:rsidR="00E840FE" w:rsidRPr="001A0890" w:rsidRDefault="00E840FE" w:rsidP="00832958">
      <w:pPr>
        <w:spacing w:after="240"/>
      </w:pPr>
    </w:p>
    <w:tbl>
      <w:tblPr>
        <w:tblW w:w="10792" w:type="dxa"/>
        <w:tblCellSpacing w:w="1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0F0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2"/>
      </w:tblGrid>
      <w:tr w:rsidR="001A0890" w:rsidRPr="001A0890" w:rsidTr="000A661A">
        <w:trPr>
          <w:tblCellSpacing w:w="15" w:type="dxa"/>
        </w:trPr>
        <w:tc>
          <w:tcPr>
            <w:tcW w:w="107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0F0F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All Objects</w:t>
            </w:r>
          </w:p>
        </w:tc>
      </w:tr>
    </w:tbl>
    <w:p w:rsidR="00E840FE" w:rsidRPr="001A0890" w:rsidRDefault="00E840FE" w:rsidP="00832958">
      <w:pPr>
        <w:spacing w:after="24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shd w:val="clear" w:color="auto" w:fill="F0F0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</w:tblGrid>
      <w:tr w:rsidR="001A0890" w:rsidRPr="001A0890" w:rsidTr="00E840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Object type = %</w:t>
            </w:r>
          </w:p>
        </w:tc>
      </w:tr>
      <w:tr w:rsidR="001A0890" w:rsidRPr="001A0890" w:rsidTr="00E840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Object owner = TBICDS</w:t>
            </w:r>
          </w:p>
        </w:tc>
      </w:tr>
      <w:tr w:rsidR="001A0890" w:rsidRPr="001A0890" w:rsidTr="00E840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Object name = %</w:t>
            </w:r>
          </w:p>
        </w:tc>
      </w:tr>
    </w:tbl>
    <w:p w:rsidR="00E840FE" w:rsidRPr="001A0890" w:rsidRDefault="00E840FE" w:rsidP="00832958">
      <w:pPr>
        <w:spacing w:after="24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8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6026"/>
        <w:gridCol w:w="3330"/>
      </w:tblGrid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E0E0E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</w:t>
            </w:r>
          </w:p>
        </w:tc>
        <w:tc>
          <w:tcPr>
            <w:tcW w:w="5996" w:type="dxa"/>
            <w:shd w:val="clear" w:color="auto" w:fill="E0E0E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 Name</w:t>
            </w:r>
          </w:p>
        </w:tc>
        <w:tc>
          <w:tcPr>
            <w:tcW w:w="3285" w:type="dxa"/>
            <w:shd w:val="clear" w:color="auto" w:fill="E0E0E0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 Type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FNC_UTL_DECSTR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FNC_UTL_DIGEST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FNC_UTL_ENCSTR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FNGETKEY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FNGETPATRACEID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GETCOLUMNVALUE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GETENCOUNTERAGE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GETEVENTDAYS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GETPARAMETERVALUE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GETPATIENTBMI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GETPATIENTCOLUMNVALUE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GETPATIENTETHNICITYLIST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GETPATIENTRACELIST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GETRACE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GETRIDRESPONSEVALUE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GETSELECTEDRADIOVALUE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HASUSERRIGHT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CMS_MENU_ITEMS_NDX01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CMS_MENU_ITEMS_NDX02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CMS_MENU_ITEMS_NDX03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CMS_PAGES_NDX01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CMS_PAGES_NDX02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CMS_PAGES_NDX03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DATA_CPAP_PHILIPS_KEYPK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DATA_CPAP_PHILIPS_NDX01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DIMS_ID_1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DISPOSITION_ID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EDUCATIONAL_LEVEL_ID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ENCOUNTER_ID00001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ENCOUNTER_ID00002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ENCOUNTER_ID00003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ENCOUNTER_ID00004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ENCOUNTER_ID00005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ENCOUNTER_INTAKEENCOUNTE00000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ENCOUNTER_INTAKEENCOUNTE00001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ENCOUNTER_INTAKEENCOUNTER_INT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ENCOUNTER_INTAKE_FLAGENC00000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ENCOUNTER_INTAKE_FLAGENCOUNTE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ENCOUNTER_INTAKE_FLAG_PK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ENCOUNTER_INTAKE_ID00000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ENCOUNTER_INTAKE_ID00001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ENCOUNTER_INTAKE_ID00002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ENCOUNTER_INTAKE_RESPONS00000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ENCOUNTER_INTAKE_RESPONSESENC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ENCOUNTER_NDX_PID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ENCOUNTER_TYPE_ID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EVENT_ID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FLAG_ID00000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FLAG_ID00001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FX_USER_KEY_PK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INDEX_ENCOUNTER_ID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INDEX_TREATMENT_ID1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INTAKE_MODULEINTAKE_TOPIC00000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INTAKE_QUESTIONINTAKE_RE00000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INTAKE_RESPONSE_KEY_PK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INTAKE_SCORE_ID00000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INTAKE_TOPICINTAKE_QUEST00000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LEVEL_OF_CARE_ID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MAJCOM_ID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MARITAL_STATUS_ID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MEASURE_ID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MENU_PARENT_ID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MH_PROVIDER_SIGNATURE_ID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MID00002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MID00003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MID00005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MID00012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PATIENT_ETHNICITY_KEY_PK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PATIENT_ID_11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PATIENT_ID_15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PATIENT_ID_18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PATIENT_ID_19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PATIENT_MILITARY_DETAILDUTY_SP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PATIENT_RACE_KEY_PK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PAT_ETH_RACE_SOURCE_KEY_PK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PERSON_ID_2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PKREGIONID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PKSITEID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PK_CPAP_DEVICE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PK_DESCRIPTION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PK_ENCOUNTER_INTAKE_FLAG00000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PK_EVENT_ID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PK_GROUP_ID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PK_MODALITY_ID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PK_MSG_ID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PK_PATIENT_EMERGENCY_CONTACT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PK_PATIENT_ID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PK_PATIENT_MILITARY_DETAIL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PK_PAT_EVENT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PK_STATIC_DATA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PK_STAT_DIAGNOSIS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PK_STAT_DIAGNOSIS_SYMPTOMS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PK_STAT_DIMS_BASE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PK_STAT_ENCOUNTER_TYPE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PK_STAT_GENDER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PK_STAT_MEASURE_UNIT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PK_STAT_MILITARY_SERVICE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PK_STAT_RELATIONSHIP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PK_STAT_STATES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PK_STAT_USER_RIGHTS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PK_SUAT_USER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PK_TEMPLATE_ID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PK_TREATMENT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PK_TREATMENT_EVENT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PK_TREATMENT_PROBLEM_SYMPTOMS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PK_TREATMENT_REFERAL_REASON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PK_TREATMENT_SUBSTANCE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PK_TX_STEP_PATID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PK_TYPE_ID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POSTAL_CODE_1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POSTAL_CODE_2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POSTAL_CODE_3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PRIMARYKEY00014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PRIMARYKEY00015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PRIMARYKEY00016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PRIMARYKEY00018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PRIMARYKEY00022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PRIMARYKEY00104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PRIMARYKEY00106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PROVIDER_ID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QID00002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REFERAL_ID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REFERAL_REASON_ID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RELATIONSHIP_ID_1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RESTRICTED_NAME_NDX01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SITE_ID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SITE_POSTAL_CODE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STAT_ETHNICITY_KEY_PK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STAT_ETHNICITY_KEY_UK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STAT_ETH_RACE_SOURCE_KEY_PK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STAT_ETH_RACE_SOURCE_KEY_UK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STAT_INTAKE_SCORE_ITEMENCOUNT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STAT_MODALITY_UK1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STAT_RACE_KEY_PK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STAT_RACE_KEY_UK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STAT_REFERRAL_KEY_PK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SUAT_KEY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SUAT_REQUEST_KET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SUBSTANCE_ID_3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SUBSTANCE_ID_4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TID00002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TREATEMENT_ID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TREATMENT_ID_11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TREATMENT_ID_14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TREATMENT_ID_15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TREATMENT_ID_6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TXPROBCRITERIADEF_PK_01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TXPROBCRITERIA_PK_01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TX_GOALS_KEY_PK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TX_INTERVENTION_INDEX01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TX_INTERVENTION_KEY_PK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TX_INTERVENTION_VALUES_KEY_PK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TX_MEASURE_KEY_PX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TX_MEASURE_VALUES_KEY_PX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TX_MODALITY_KEY_PK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TX_PROBLEM_LIST_KEY_PK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TX_REFERRAL_KEY_PK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TX_SELF_MGNT_KEY_PK01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TX_SELF_MGNT_VALUES_KEY_PK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TX_STRENGTHS_KEY_PK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TX_WEAKNESS_KEY_PK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UTL_PARAMETER_KEY_PK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SYS_LOB0000334484C00004$$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SYS_LOB0000334513C00008$$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SYS_LOB0000334528C00004$$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SYS_LOB0000334538C00052$$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SYS_LOB0000334538C00055$$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SYS_LOB0000334538C00056$$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SYS_LOB0000334538C00057$$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SYS_LOB0000334538C00058$$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SYS_LOB0000334538C00059$$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SYS_LOB0000334538C00060$$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SYS_LOB0000334538C00061$$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SYS_LOB0000334592C00052$$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SYS_LOB0000334592C00055$$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SYS_LOB0000334592C00056$$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SYS_LOB0000334592C00057$$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SYS_LOB0000334592C00058$$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SYS_LOB0000334592C00059$$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SYS_LOB0000334592C00060$$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SYS_LOB0000334592C00061$$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SYS_LOB0000334611C00026$$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SYS_LOB0000334614C00003$$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SYS_LOB0000334618C00006$$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LOB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IC_UTL_SEC_TEMP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PCK_APP_MENU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PCK_AP_USERADMIN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PCK_CPAP_DEVICE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PCK_CPAP_IMPORT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PCK_CPAP_RESULTS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PCK_DEMOGRAPHICS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PCK_DEVICES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PCK_DIAGNOSIS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PCK_ENCOUNTER_INTAKE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PCK_FX_SEC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PCK_FX_SEC_PATIENT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PCK_JOBS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PCK_MESSAGES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PCK_MILITARY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PCK_NOTE_PREFILL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PCK_PATIENT_EVENTS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PCK_PATIENT_LOCK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PCK_PATIENT_TX_STEP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PCK_PAT_ETHNICITY_RACE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PCK_PROVIDER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PCK_QUESTIONNAIRES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PCK_REFERRAL_CLINIC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PCK_REGION_SITE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PCK_REVAMP_TIU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PCK_REVAMP_TIU_COMMON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PCK_SOAPP_REPORT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PCK_SYSTEM_ID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PCK_SYSTEM_SETTINGS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PCK_TEMPLATE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PCK_TREATMENT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PCK_TREATMENT_PLAN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PCK_USER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PCK_USER_ADMIN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PCK_UTL_COMMON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PCK_XFER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IC_UTL_SEC_TEMP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PCK_APP_MENU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PCK_AP_USERADMIN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PCK_CPAP_DEVICE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PCK_CPAP_IMPORT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PCK_CPAP_RESULTS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PCK_DEMOGRAPHICS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PCK_DEVICES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PCK_DIAGNOSIS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PCK_ENCOUNTER_INTAKE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PCK_FX_SEC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PCK_FX_SEC_PATIENT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PCK_JOBS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PCK_MESSAGES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PCK_MILITARY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PCK_NOTE_PREFILL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PCK_PATIENT_EVENTS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PCK_PATIENT_LOCK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PCK_PATIENT_TX_STEP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PCK_PAT_ETHNICITY_RACE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PCK_PROVIDER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PCK_QUESTIONNAIRES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PCK_REFERRAL_CLINIC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PCK_REGION_SITE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PCK_REVAMP_TIU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PCK_REVAMP_TIU_COMMON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PCK_SOAPP_REPORT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PCK_SYSTEM_ID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PCK_SYSTEM_SETTINGS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PCK_TEMPLATE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PCK_TREATMENT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PCK_TREATMENT_PLAN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PCK_USER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PCK_USER_ADMIN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PCK_UTL_COMMON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PCK_XFER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PACKAGE BODY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PRC_UTL_EXECUTE_SQL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PROCEDURE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PRC_UTL_SEND_EMAIL_TEXT_MSG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PROCEDURE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PRC_UTL_TRUNCATE_PATIENT_DATA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PROCEDURE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SEQCMSMENUID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SEQCPAPDEVICE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SEQFXUSERID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SEQINACTIVEPAP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SEQMSGID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SEQPATEVENTID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SEQPROBLEMID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SEQREFERRALID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SEQSTATICPAGEID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SEQTEMPLATEGRPID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SEQTEMPLATEID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SEQTXDIAGNOSISID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SEQTXPROBCRITERIA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SEQTXPROBCRITERIADEF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SEQTXPROBLEMID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SEQ_APP_USER_ID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SEQ_ENCOUNTERID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CMS_MENU_ITEMS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CMS_PAGES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CPAP_DATA_PHILLIPS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CPAP_DEVICE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CPAP_DEVICE_TYPE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CPAP_LEAK_TYPE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DATA_CPAP_PHILIPS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DATA_CPAP_RESMED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ENCOUNTER_INTAKE_FLAG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ENCOUNTER_INTAKE_FLAG_RID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ENCOUNTER_INTAKE_RESPONSES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ENCOUNTER_INTAKE_SCORE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ENCOUNTER_INTAKE_TODO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ENCOUNTER_TEMP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ENCOUNTER_TIU_NOTE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FX_AUDIT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FX_IPLOGIN_ATTEMPTS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FX_JOB_STATUS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FX_PAGE_ACCESS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FX_RESTRICTED_NAME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FX_RIGHTS_TEMPLATE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FX_SEC_QUESTIONS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FX_SESSION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FX_SESSION_VALUE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FX_SETTINGS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FX_USER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FX_USER_RIGHTS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INTAKE_FLAGS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INTAKE_MODULE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INTAKE_MODULE_GROUP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INTAKE_MODULE_GROUP_MID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INTAKE_PROBLEM_CRITERIA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INTAKE_PROBLEM_CRITERIA_DEF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INTAKE_PROBLEM_LIST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INTAKE_QUESTION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INTAKE_RESPONSE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INTAKE_STATIC_DATA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INTAKE_TOPIC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MESSAGE_CONTENTS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MESSAGE_RECIPIENT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PATIENT_CPAP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PATIENT_DEMOGRAPHICS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PATIENT_EMERGENCY_CONTACT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PATIENT_ETHNICITY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PATIENT_EVENT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PATIENT_LOCK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PATIENT_MILITARY_DETAIL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PATIENT_MODULE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PATIENT_RACE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PATIENT_SPONSOR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PATIENT_TREATMENT_STEP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PAT_ETH_RACE_SOURCE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PLAN_TABLE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STAT_DIAGNOSIS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STAT_DIAGNOSIS_SPECIFIER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STAT_DIAGNOSIS_SYMPTOMS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STAT_DIMS_BASE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STAT_ENCOUNTER_TYPE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STAT_ETHNICITY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STAT_ETH_RACE_SOURCE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STAT_EVENT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STAT_GENDER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STAT_MEASURE_UNIT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STAT_MENU_ITEMS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STAT_MILITARY_SERVICE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STAT_MODALITY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STAT_OUTCOME_MEASURE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STAT_PROBLEM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STAT_RACE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STAT_REFERRAL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STAT_RELATIONSHIP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STAT_REVAMP_REPORT_QUERY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STAT_SEC_QUESTIONS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STAT_SPECIFIER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STAT_STATES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STAT_USER_RIGHTS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STAT_USER_TYPES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SUAT_USER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TEMPLATE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TEMPLATE_GROUP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TEMPLATE_ITEM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TEMPLATE_ITEM_GROUP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TEMPLATE_TYPE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TIU_STAT_SEX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TIU_UTL_CLINIC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TIU_UTL_NOTE_TITLE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TIU_UTL_REGION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TIU_UTL_SITE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TREATMENT_EVENT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TREATMENT_GOALS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TREATMENT_INTERVENTION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TREATMENT_INTERVENTION_VALUES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TREATMENT_MEASURE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TREATMENT_MEASURE_VALUES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TREATMENT_MODALITY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TREATMENT_PROBLEM_LIST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TREATMENT_PROBLEM_SYMPTOMS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TREATMENT_PROB_CRITERIA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TREATMENT_PROB_CRITERIA_DEF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TREATMENT_REFERAL_REASON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TREATMENT_REFERRAL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TREATMENT_SELF_MANAGEMENT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TREATMENT_SELF_MGNT_VALUES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TREATMENT_STRENGTHS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TREATMENT_SUBSTANCE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TREATMENT_WEAKNESS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UTL_PARAMETER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UTL_REGION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UTL_SITE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  <w:shd w:val="clear" w:color="auto" w:fill="F4F4F4"/>
            <w:vAlign w:val="center"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F4F4F4"/>
            <w:vAlign w:val="center"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TYP_OBJ_PATIENT_ENCOUNTER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TYP_TBL_PATIENT_ENCOUNTER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DEL_PATIENT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VW_1WK_AHI_BASELINE_AHI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VW_AGE_DISTRIB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VW_INTAKE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VW_INTAKE_PROBLEM_LIST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VW_PATIENT_CPAP_FREPORT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VW_PATIENT_FREPORT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VW_PATIENT_FX_AUDIT_FREPORT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VW_PATIENT_LOCK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VW_VALID_PAT_LIST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  <w:tr w:rsidR="001A0890" w:rsidRPr="001A0890" w:rsidTr="00832958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TBICDS</w:t>
            </w:r>
          </w:p>
        </w:tc>
        <w:tc>
          <w:tcPr>
            <w:tcW w:w="5996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VW_ZIPCODE_DISTRIB</w:t>
            </w:r>
          </w:p>
        </w:tc>
        <w:tc>
          <w:tcPr>
            <w:tcW w:w="3285" w:type="dxa"/>
            <w:shd w:val="clear" w:color="auto" w:fill="F4F4F4"/>
            <w:vAlign w:val="center"/>
            <w:hideMark/>
          </w:tcPr>
          <w:p w:rsidR="00E840FE" w:rsidRPr="001A0890" w:rsidRDefault="00E840FE" w:rsidP="000A66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890"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</w:p>
        </w:tc>
      </w:tr>
    </w:tbl>
    <w:p w:rsidR="00E840FE" w:rsidRPr="001A0890" w:rsidRDefault="00E840FE" w:rsidP="00832958">
      <w:pPr>
        <w:spacing w:after="240"/>
      </w:pPr>
    </w:p>
    <w:sectPr w:rsidR="00E840FE" w:rsidRPr="001A0890" w:rsidSect="002359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70FD2"/>
    <w:multiLevelType w:val="hybridMultilevel"/>
    <w:tmpl w:val="4D64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341D7"/>
    <w:multiLevelType w:val="hybridMultilevel"/>
    <w:tmpl w:val="2EDA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95"/>
    <w:rsid w:val="000A661A"/>
    <w:rsid w:val="001A0890"/>
    <w:rsid w:val="001B7D64"/>
    <w:rsid w:val="001E5295"/>
    <w:rsid w:val="00222EE0"/>
    <w:rsid w:val="002332D1"/>
    <w:rsid w:val="00235977"/>
    <w:rsid w:val="00277A9C"/>
    <w:rsid w:val="003D00A4"/>
    <w:rsid w:val="003F2FA7"/>
    <w:rsid w:val="004018EF"/>
    <w:rsid w:val="004F3D17"/>
    <w:rsid w:val="006E3421"/>
    <w:rsid w:val="00832958"/>
    <w:rsid w:val="0084049B"/>
    <w:rsid w:val="0095592A"/>
    <w:rsid w:val="00B42E47"/>
    <w:rsid w:val="00BD67CA"/>
    <w:rsid w:val="00D8165A"/>
    <w:rsid w:val="00E44ADA"/>
    <w:rsid w:val="00E840FE"/>
    <w:rsid w:val="00ED20C4"/>
    <w:rsid w:val="00E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68E62E-8809-44E9-A2C5-9D48B47A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0A4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8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8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A9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A08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08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Intellica</Company>
  <LinksUpToDate>false</LinksUpToDate>
  <CharactersWithSpaces>15977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Rebo</dc:creator>
  <cp:lastModifiedBy>Adam Richter</cp:lastModifiedBy>
  <cp:revision>10</cp:revision>
  <dcterms:created xsi:type="dcterms:W3CDTF">2014-07-08T17:49:00Z</dcterms:created>
  <dcterms:modified xsi:type="dcterms:W3CDTF">2014-07-09T15:47:00Z</dcterms:modified>
</cp:coreProperties>
</file>